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shd w:val="clear" w:color="auto" w:fill="FFFFFF"/>
        <w:spacing w:after="143"/>
        <w:outlineLvl w:val="0"/>
        <w:rPr>
          <w:rFonts w:ascii="Georgia" w:eastAsia="Times New Roman" w:hAnsi="Georgia" w:cs="Times New Roman"/>
          <w:color w:val="111111"/>
          <w:kern w:val="36"/>
          <w:sz w:val="58"/>
          <w:szCs w:val="58"/>
          <w:lang w:eastAsia="en-GB"/>
        </w:rPr>
      </w:pPr>
      <w:r>
        <w:rPr>
          <w:rFonts w:ascii="Georgia" w:eastAsia="Times New Roman" w:hAnsi="Georgia" w:cs="Times New Roman"/>
          <w:color w:val="111111"/>
          <w:kern w:val="36"/>
          <w:sz w:val="58"/>
          <w:szCs w:val="58"/>
          <w:lang w:eastAsia="en-GB"/>
        </w:rPr>
        <w:t>Law</w:t>
      </w:r>
    </w:p>
    <w:p>
      <w:pPr>
        <w:shd w:val="clear" w:color="auto" w:fill="022B47"/>
        <w:spacing w:after="356" w:line="522" w:lineRule="atLeast"/>
        <w:ind w:left="-798" w:right="356"/>
        <w:outlineLvl w:val="1"/>
        <w:rPr>
          <w:rFonts w:ascii="Georgia" w:eastAsia="Times New Roman" w:hAnsi="Georgia" w:cs="Times New Roman"/>
          <w:color w:val="FFFFFF"/>
          <w:sz w:val="36"/>
          <w:szCs w:val="36"/>
          <w:lang w:eastAsia="en-GB"/>
        </w:rPr>
      </w:pPr>
      <w:proofErr w:type="gramStart"/>
      <w:r>
        <w:rPr>
          <w:rFonts w:ascii="Georgia" w:eastAsia="Times New Roman" w:hAnsi="Georgia" w:cs="Times New Roman"/>
          <w:color w:val="FFFFFF"/>
          <w:sz w:val="36"/>
          <w:szCs w:val="36"/>
          <w:lang w:eastAsia="en-GB"/>
        </w:rPr>
        <w:t>Interested in criminal behaviour, criminal sanctions and civil liberties?</w:t>
      </w:r>
      <w:proofErr w:type="gramEnd"/>
      <w:r>
        <w:rPr>
          <w:rFonts w:ascii="Georgia" w:eastAsia="Times New Roman" w:hAnsi="Georgia" w:cs="Times New Roman"/>
          <w:color w:val="FFFFFF"/>
          <w:sz w:val="36"/>
          <w:szCs w:val="36"/>
          <w:lang w:eastAsia="en-GB"/>
        </w:rPr>
        <w:t xml:space="preserve"> This is the course for you.</w:t>
      </w:r>
    </w:p>
    <w:p>
      <w:pPr>
        <w:shd w:val="clear" w:color="auto" w:fill="FFFFFF"/>
        <w:spacing w:after="71"/>
        <w:outlineLvl w:val="2"/>
        <w:rPr>
          <w:rFonts w:ascii="Georgia" w:eastAsia="Times New Roman" w:hAnsi="Georgia" w:cs="Times New Roman"/>
          <w:color w:val="195C93"/>
          <w:sz w:val="34"/>
          <w:szCs w:val="34"/>
          <w:lang w:eastAsia="en-GB"/>
        </w:rPr>
      </w:pPr>
      <w:r>
        <w:rPr>
          <w:rFonts w:ascii="Georgia" w:eastAsia="Times New Roman" w:hAnsi="Georgia" w:cs="Times New Roman"/>
          <w:color w:val="195C93"/>
          <w:sz w:val="34"/>
          <w:szCs w:val="34"/>
          <w:lang w:eastAsia="en-GB"/>
        </w:rPr>
        <w:t>Content</w:t>
      </w:r>
    </w:p>
    <w:tbl>
      <w:tblPr>
        <w:tblW w:w="10774" w:type="dxa"/>
        <w:tblInd w:w="-859" w:type="dxa"/>
        <w:shd w:val="clear" w:color="auto" w:fill="F9F7F4"/>
        <w:tblCellMar>
          <w:left w:w="0" w:type="dxa"/>
          <w:right w:w="0" w:type="dxa"/>
        </w:tblCellMar>
        <w:tblLook w:val="04A0" w:firstRow="1" w:lastRow="0" w:firstColumn="1" w:lastColumn="0" w:noHBand="0" w:noVBand="1"/>
      </w:tblPr>
      <w:tblGrid>
        <w:gridCol w:w="10774"/>
      </w:tblGrid>
      <w:tr>
        <w:tc>
          <w:tcPr>
            <w:tcW w:w="10774"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For students who are interested in criminal behaviour, criminal sanctions and civil liberties, this course develops the skills to understand and evaluate our English legal system. The course will help you to understand the changing nature of law and the interaction between law, society, technology, morals and justice.</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Law complements most A Level subjects but students often combine it with History, Psychology, Business Studies, Philosophy, Modern Languages or English.</w:t>
            </w:r>
          </w:p>
        </w:tc>
      </w:tr>
    </w:tbl>
    <w:p>
      <w:pPr>
        <w:shd w:val="clear" w:color="auto" w:fill="FFFFFF"/>
        <w:spacing w:after="71"/>
        <w:outlineLvl w:val="2"/>
        <w:rPr>
          <w:rFonts w:ascii="Georgia" w:eastAsia="Times New Roman" w:hAnsi="Georgia" w:cs="Times New Roman"/>
          <w:color w:val="195C93"/>
          <w:sz w:val="34"/>
          <w:szCs w:val="34"/>
          <w:lang w:eastAsia="en-GB"/>
        </w:rPr>
      </w:pPr>
      <w:r>
        <w:rPr>
          <w:rFonts w:ascii="Georgia" w:eastAsia="Times New Roman" w:hAnsi="Georgia" w:cs="Times New Roman"/>
          <w:color w:val="195C93"/>
          <w:sz w:val="34"/>
          <w:szCs w:val="34"/>
          <w:lang w:eastAsia="en-GB"/>
        </w:rPr>
        <w:t>Special Features</w:t>
      </w:r>
    </w:p>
    <w:tbl>
      <w:tblPr>
        <w:tblW w:w="10774" w:type="dxa"/>
        <w:tblInd w:w="-859" w:type="dxa"/>
        <w:shd w:val="clear" w:color="auto" w:fill="F9F7F4"/>
        <w:tblCellMar>
          <w:left w:w="0" w:type="dxa"/>
          <w:right w:w="0" w:type="dxa"/>
        </w:tblCellMar>
        <w:tblLook w:val="04A0" w:firstRow="1" w:lastRow="0" w:firstColumn="1" w:lastColumn="0" w:noHBand="0" w:noVBand="1"/>
      </w:tblPr>
      <w:tblGrid>
        <w:gridCol w:w="10774"/>
      </w:tblGrid>
      <w:tr>
        <w:tc>
          <w:tcPr>
            <w:tcW w:w="10774"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You will have opportunities to visit Magistrates’ and Crown Courts, including the Old Bailey in London. You may be able to tour Parliament and even attend PM’s question time. You can develop your skills in Mock Trial and Youth Parliament competitions. Model United Nations Conferences introduce you to students from other countries.</w:t>
            </w:r>
          </w:p>
        </w:tc>
      </w:tr>
    </w:tbl>
    <w:p>
      <w:pPr>
        <w:shd w:val="clear" w:color="auto" w:fill="FFFFFF"/>
        <w:spacing w:after="71"/>
        <w:outlineLvl w:val="2"/>
        <w:rPr>
          <w:rFonts w:ascii="Georgia" w:eastAsia="Times New Roman" w:hAnsi="Georgia" w:cs="Times New Roman"/>
          <w:color w:val="195C93"/>
          <w:sz w:val="34"/>
          <w:szCs w:val="34"/>
          <w:lang w:eastAsia="en-GB"/>
        </w:rPr>
      </w:pPr>
      <w:r>
        <w:rPr>
          <w:rFonts w:ascii="Georgia" w:eastAsia="Times New Roman" w:hAnsi="Georgia" w:cs="Times New Roman"/>
          <w:color w:val="195C93"/>
          <w:sz w:val="34"/>
          <w:szCs w:val="34"/>
          <w:lang w:eastAsia="en-GB"/>
        </w:rPr>
        <w:t>Entry requirements</w:t>
      </w:r>
    </w:p>
    <w:tbl>
      <w:tblPr>
        <w:tblW w:w="10774" w:type="dxa"/>
        <w:tblInd w:w="-859" w:type="dxa"/>
        <w:shd w:val="clear" w:color="auto" w:fill="F9F7F4"/>
        <w:tblCellMar>
          <w:left w:w="0" w:type="dxa"/>
          <w:right w:w="0" w:type="dxa"/>
        </w:tblCellMar>
        <w:tblLook w:val="04A0" w:firstRow="1" w:lastRow="0" w:firstColumn="1" w:lastColumn="0" w:noHBand="0" w:noVBand="1"/>
      </w:tblPr>
      <w:tblGrid>
        <w:gridCol w:w="10774"/>
      </w:tblGrid>
      <w:tr>
        <w:tc>
          <w:tcPr>
            <w:tcW w:w="10774"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Please refer to The John of Gaunt entry requirements.</w:t>
            </w:r>
          </w:p>
        </w:tc>
      </w:tr>
    </w:tbl>
    <w:p>
      <w:pPr>
        <w:shd w:val="clear" w:color="auto" w:fill="FFFFFF"/>
        <w:spacing w:after="71"/>
        <w:outlineLvl w:val="2"/>
        <w:rPr>
          <w:rFonts w:ascii="Georgia" w:eastAsia="Times New Roman" w:hAnsi="Georgia" w:cs="Times New Roman"/>
          <w:color w:val="195C93"/>
          <w:sz w:val="34"/>
          <w:szCs w:val="34"/>
          <w:lang w:eastAsia="en-GB"/>
        </w:rPr>
      </w:pPr>
      <w:r>
        <w:rPr>
          <w:rFonts w:ascii="Georgia" w:eastAsia="Times New Roman" w:hAnsi="Georgia" w:cs="Times New Roman"/>
          <w:color w:val="195C93"/>
          <w:sz w:val="34"/>
          <w:szCs w:val="34"/>
          <w:lang w:eastAsia="en-GB"/>
        </w:rPr>
        <w:t>Attendance</w:t>
      </w:r>
    </w:p>
    <w:tbl>
      <w:tblPr>
        <w:tblW w:w="10632" w:type="dxa"/>
        <w:tblInd w:w="-859" w:type="dxa"/>
        <w:shd w:val="clear" w:color="auto" w:fill="F9F7F4"/>
        <w:tblCellMar>
          <w:left w:w="0" w:type="dxa"/>
          <w:right w:w="0" w:type="dxa"/>
        </w:tblCellMar>
        <w:tblLook w:val="04A0" w:firstRow="1" w:lastRow="0" w:firstColumn="1" w:lastColumn="0" w:noHBand="0" w:noVBand="1"/>
      </w:tblPr>
      <w:tblGrid>
        <w:gridCol w:w="10632"/>
      </w:tblGrid>
      <w:tr>
        <w:tc>
          <w:tcPr>
            <w:tcW w:w="10632"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A two year A Level course</w:t>
            </w:r>
          </w:p>
        </w:tc>
      </w:tr>
    </w:tbl>
    <w:p>
      <w:pPr>
        <w:shd w:val="clear" w:color="auto" w:fill="FFFFFF"/>
        <w:spacing w:after="71"/>
        <w:outlineLvl w:val="2"/>
        <w:rPr>
          <w:rFonts w:ascii="Georgia" w:eastAsia="Times New Roman" w:hAnsi="Georgia" w:cs="Times New Roman"/>
          <w:color w:val="195C93"/>
          <w:sz w:val="34"/>
          <w:szCs w:val="34"/>
          <w:lang w:eastAsia="en-GB"/>
        </w:rPr>
      </w:pPr>
      <w:r>
        <w:rPr>
          <w:rFonts w:ascii="Georgia" w:eastAsia="Times New Roman" w:hAnsi="Georgia" w:cs="Times New Roman"/>
          <w:color w:val="195C93"/>
          <w:sz w:val="34"/>
          <w:szCs w:val="34"/>
          <w:lang w:eastAsia="en-GB"/>
        </w:rPr>
        <w:t>Assessment</w:t>
      </w:r>
    </w:p>
    <w:tbl>
      <w:tblPr>
        <w:tblW w:w="10490" w:type="dxa"/>
        <w:tblInd w:w="-859" w:type="dxa"/>
        <w:shd w:val="clear" w:color="auto" w:fill="F9F7F4"/>
        <w:tblCellMar>
          <w:left w:w="0" w:type="dxa"/>
          <w:right w:w="0" w:type="dxa"/>
        </w:tblCellMar>
        <w:tblLook w:val="04A0" w:firstRow="1" w:lastRow="0" w:firstColumn="1" w:lastColumn="0" w:noHBand="0" w:noVBand="1"/>
      </w:tblPr>
      <w:tblGrid>
        <w:gridCol w:w="10490"/>
      </w:tblGrid>
      <w:tr>
        <w:tc>
          <w:tcPr>
            <w:tcW w:w="10490"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A Level OCR H415 – three exams, two hours each, all assessed at the end of the course.</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The exams focus on knowledge and understanding, applying legal rules and principles, and analysis and evaluation.</w:t>
            </w:r>
          </w:p>
        </w:tc>
      </w:tr>
    </w:tbl>
    <w:p>
      <w:pPr>
        <w:shd w:val="clear" w:color="auto" w:fill="FFFFFF"/>
        <w:spacing w:after="300"/>
        <w:rPr>
          <w:rFonts w:ascii="Helvetica" w:eastAsia="Times New Roman" w:hAnsi="Helvetica" w:cs="Helvetica"/>
          <w:color w:val="444444"/>
          <w:lang w:eastAsia="en-GB"/>
        </w:rPr>
      </w:pPr>
      <w:r>
        <w:rPr>
          <w:rFonts w:ascii="Helvetica" w:eastAsia="Times New Roman" w:hAnsi="Helvetica" w:cs="Helvetica"/>
          <w:color w:val="444444"/>
          <w:lang w:eastAsia="en-GB"/>
        </w:rPr>
        <w:t> </w:t>
      </w:r>
    </w:p>
    <w:tbl>
      <w:tblPr>
        <w:tblW w:w="10198" w:type="dxa"/>
        <w:shd w:val="clear" w:color="auto" w:fill="F9F7F4"/>
        <w:tblCellMar>
          <w:left w:w="0" w:type="dxa"/>
          <w:right w:w="0" w:type="dxa"/>
        </w:tblCellMar>
        <w:tblLook w:val="04A0" w:firstRow="1" w:lastRow="0" w:firstColumn="1" w:lastColumn="0" w:noHBand="0" w:noVBand="1"/>
      </w:tblPr>
      <w:tblGrid>
        <w:gridCol w:w="1512"/>
        <w:gridCol w:w="1255"/>
        <w:gridCol w:w="1903"/>
        <w:gridCol w:w="2693"/>
        <w:gridCol w:w="2835"/>
      </w:tblGrid>
      <w:tr>
        <w:tc>
          <w:tcPr>
            <w:tcW w:w="1512"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lastRenderedPageBreak/>
              <w:t>MODULE</w:t>
            </w:r>
          </w:p>
        </w:tc>
        <w:tc>
          <w:tcPr>
            <w:tcW w:w="1255"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LEVEL</w:t>
            </w:r>
          </w:p>
        </w:tc>
        <w:tc>
          <w:tcPr>
            <w:tcW w:w="1903"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MODULE TITLE</w:t>
            </w:r>
          </w:p>
        </w:tc>
        <w:tc>
          <w:tcPr>
            <w:tcW w:w="2693"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MODE OF ASSESSMENT</w:t>
            </w:r>
          </w:p>
        </w:tc>
        <w:tc>
          <w:tcPr>
            <w:tcW w:w="2835"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BRIEF OUTLINE OF MODULE</w:t>
            </w:r>
          </w:p>
        </w:tc>
      </w:tr>
      <w:tr>
        <w:tc>
          <w:tcPr>
            <w:tcW w:w="1512"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1</w:t>
            </w:r>
          </w:p>
        </w:tc>
        <w:tc>
          <w:tcPr>
            <w:tcW w:w="1255"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A2</w:t>
            </w:r>
          </w:p>
        </w:tc>
        <w:tc>
          <w:tcPr>
            <w:tcW w:w="1903"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English Legal System</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Criminal Law</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tc>
        <w:tc>
          <w:tcPr>
            <w:tcW w:w="2693"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33% of the total GCE.</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100 marks</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25 marks for the English Legal System</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75 marks for Criminal Law</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2 hour written paper</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Short questions, a legal scenario and extended response questions.</w:t>
            </w:r>
          </w:p>
        </w:tc>
        <w:tc>
          <w:tcPr>
            <w:tcW w:w="2835"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An introduction to the English Legal System including the civil and criminal courts, sentencing, the legal profession, judges, magistrates, juries and legal services.</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An introduction to Criminal Law including the principles of criminal liability, murder, manslaughter, non-fatal offences, theft, robbery and burglary and the general defences.</w:t>
            </w:r>
          </w:p>
        </w:tc>
      </w:tr>
      <w:tr>
        <w:tc>
          <w:tcPr>
            <w:tcW w:w="1512"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2</w:t>
            </w:r>
          </w:p>
        </w:tc>
        <w:tc>
          <w:tcPr>
            <w:tcW w:w="1255"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A2</w:t>
            </w:r>
          </w:p>
        </w:tc>
        <w:tc>
          <w:tcPr>
            <w:tcW w:w="1903"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Law Making</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The Law of Tort</w:t>
            </w:r>
          </w:p>
        </w:tc>
        <w:tc>
          <w:tcPr>
            <w:tcW w:w="2693"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33% of the total GCE</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100 marks</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25 marks for Law Making</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75 marks for Tort</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2 hour written paper.</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Short questions, a legal scenario and extended response questions</w:t>
            </w:r>
          </w:p>
        </w:tc>
        <w:tc>
          <w:tcPr>
            <w:tcW w:w="2835"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Law Making including law making methods, the concepts underlying them and reasoning as used by lawyers and judges.</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Tort including the rules of tort, liability in negligence, occupiers’ liability and remedies.</w:t>
            </w:r>
          </w:p>
        </w:tc>
      </w:tr>
      <w:tr>
        <w:tc>
          <w:tcPr>
            <w:tcW w:w="1512"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lastRenderedPageBreak/>
              <w:t>3</w:t>
            </w:r>
          </w:p>
        </w:tc>
        <w:tc>
          <w:tcPr>
            <w:tcW w:w="1255"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A2</w:t>
            </w:r>
          </w:p>
        </w:tc>
        <w:tc>
          <w:tcPr>
            <w:tcW w:w="1903"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The Nature of Law</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Human Rights Law</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tc>
        <w:tc>
          <w:tcPr>
            <w:tcW w:w="2693"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33% of the total GCE</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100 marks</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25 marks for The Nature of Law</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75 marks for Human Rights Law</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2 hour written paper.</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A choice of extended response questions and a legal scenario.</w:t>
            </w:r>
          </w:p>
        </w:tc>
        <w:tc>
          <w:tcPr>
            <w:tcW w:w="2835"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The Nature of Law focuses on law in a wider context and develops understanding of how law interacts with society, technology, morality and justice.</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Human Rights Law focuses on human rights under UK law, the restrictions on them and the process of enforcement through the courts</w:t>
            </w:r>
          </w:p>
        </w:tc>
      </w:tr>
    </w:tbl>
    <w:p>
      <w:pPr>
        <w:shd w:val="clear" w:color="auto" w:fill="FFFFFF"/>
        <w:spacing w:after="71"/>
        <w:outlineLvl w:val="2"/>
        <w:rPr>
          <w:rFonts w:ascii="Georgia" w:eastAsia="Times New Roman" w:hAnsi="Georgia" w:cs="Times New Roman"/>
          <w:color w:val="195C93"/>
          <w:sz w:val="34"/>
          <w:szCs w:val="34"/>
          <w:lang w:eastAsia="en-GB"/>
        </w:rPr>
      </w:pPr>
      <w:r>
        <w:rPr>
          <w:rFonts w:ascii="Georgia" w:eastAsia="Times New Roman" w:hAnsi="Georgia" w:cs="Times New Roman"/>
          <w:color w:val="195C93"/>
          <w:sz w:val="34"/>
          <w:szCs w:val="34"/>
          <w:lang w:eastAsia="en-GB"/>
        </w:rPr>
        <w:t>Moving on</w:t>
      </w:r>
    </w:p>
    <w:tbl>
      <w:tblPr>
        <w:tblW w:w="10057" w:type="dxa"/>
        <w:shd w:val="clear" w:color="auto" w:fill="F9F7F4"/>
        <w:tblCellMar>
          <w:left w:w="0" w:type="dxa"/>
          <w:right w:w="0" w:type="dxa"/>
        </w:tblCellMar>
        <w:tblLook w:val="04A0" w:firstRow="1" w:lastRow="0" w:firstColumn="1" w:lastColumn="0" w:noHBand="0" w:noVBand="1"/>
      </w:tblPr>
      <w:tblGrid>
        <w:gridCol w:w="10057"/>
      </w:tblGrid>
      <w:tr>
        <w:tc>
          <w:tcPr>
            <w:tcW w:w="10057"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If you wish to study Law, Law with a modern language, Criminology, Business or any other social science, this course will give you a real advantage. Many of our ex-students are now studying Law at degree level or have moved on to train as Solicitors or Barristers. Some have spent a year in Europe or the United States as part of their degree course.</w:t>
            </w:r>
          </w:p>
        </w:tc>
      </w:tr>
    </w:tbl>
    <w:p>
      <w:bookmarkStart w:id="0" w:name="_GoBack"/>
      <w:bookmarkEnd w:id="0"/>
    </w:p>
    <w:sectPr>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17CBE9-28A2-438F-9F0F-F1120E941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4699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474</Words>
  <Characters>2706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3174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Nichols</dc:creator>
  <cp:keywords/>
  <dc:description/>
  <cp:lastModifiedBy>S Nichols</cp:lastModifiedBy>
  <cp:revision>1</cp:revision>
  <dcterms:created xsi:type="dcterms:W3CDTF">2020-06-23T12:52:00Z</dcterms:created>
  <dcterms:modified xsi:type="dcterms:W3CDTF">2020-06-23T12:55:00Z</dcterms:modified>
</cp:coreProperties>
</file>